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96" w:rsidRDefault="00C14796" w:rsidP="00C14796">
      <w:pPr>
        <w:jc w:val="center"/>
        <w:rPr>
          <w:b/>
        </w:rPr>
      </w:pP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C14796">
        <w:rPr>
          <w:rFonts w:ascii="Times New Roman" w:hAnsi="Times New Roman" w:cs="Times New Roman"/>
          <w:b/>
          <w:sz w:val="28"/>
          <w:szCs w:val="28"/>
        </w:rPr>
        <w:t>ВИТЕБ</w:t>
      </w:r>
      <w:bookmarkEnd w:id="0"/>
      <w:r w:rsidRPr="00C14796">
        <w:rPr>
          <w:rFonts w:ascii="Times New Roman" w:hAnsi="Times New Roman" w:cs="Times New Roman"/>
          <w:b/>
          <w:sz w:val="28"/>
          <w:szCs w:val="28"/>
        </w:rPr>
        <w:t>СКОГО СЕЛЬСКОГО  ПОСЕЛЕНИЯ</w:t>
      </w: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96">
        <w:rPr>
          <w:rFonts w:ascii="Times New Roman" w:hAnsi="Times New Roman" w:cs="Times New Roman"/>
          <w:b/>
          <w:sz w:val="28"/>
          <w:szCs w:val="28"/>
        </w:rPr>
        <w:t xml:space="preserve">ПОДГОРЕНСКОГО  МУНИЦИПАЛЬНОГО  РАЙОНА </w:t>
      </w: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96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C14796" w:rsidRPr="00C14796" w:rsidRDefault="00C14796" w:rsidP="00C147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C14796" w:rsidRPr="00C14796" w:rsidRDefault="00C14796" w:rsidP="00C14796">
      <w:pPr>
        <w:pStyle w:val="ac"/>
        <w:ind w:right="-6"/>
        <w:jc w:val="center"/>
        <w:rPr>
          <w:b/>
          <w:bCs/>
          <w:sz w:val="28"/>
          <w:szCs w:val="28"/>
        </w:rPr>
      </w:pPr>
      <w:r w:rsidRPr="00C14796">
        <w:rPr>
          <w:b/>
          <w:bCs/>
          <w:sz w:val="28"/>
          <w:szCs w:val="28"/>
        </w:rPr>
        <w:t xml:space="preserve">ПОСТАНОВЛЕНИЕ </w:t>
      </w:r>
    </w:p>
    <w:p w:rsidR="00C14796" w:rsidRPr="00C14796" w:rsidRDefault="00C14796" w:rsidP="00C147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10484C">
        <w:rPr>
          <w:rFonts w:ascii="Times New Roman" w:hAnsi="Times New Roman" w:cs="Times New Roman"/>
          <w:sz w:val="28"/>
          <w:szCs w:val="28"/>
          <w:u w:val="single"/>
        </w:rPr>
        <w:t xml:space="preserve">30 ноября </w:t>
      </w: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2022  года  №  </w:t>
      </w:r>
      <w:r w:rsidR="0010484C">
        <w:rPr>
          <w:rFonts w:ascii="Times New Roman" w:hAnsi="Times New Roman" w:cs="Times New Roman"/>
          <w:sz w:val="28"/>
          <w:szCs w:val="28"/>
          <w:u w:val="single"/>
        </w:rPr>
        <w:t>41</w:t>
      </w: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4796" w:rsidRPr="00C14796" w:rsidRDefault="00C14796" w:rsidP="00C14796">
      <w:pPr>
        <w:spacing w:after="0" w:line="240" w:lineRule="auto"/>
        <w:rPr>
          <w:rFonts w:ascii="Times New Roman" w:hAnsi="Times New Roman" w:cs="Times New Roman"/>
        </w:rPr>
      </w:pPr>
      <w:r w:rsidRPr="00C14796">
        <w:rPr>
          <w:rFonts w:ascii="Times New Roman" w:hAnsi="Times New Roman" w:cs="Times New Roman"/>
        </w:rPr>
        <w:t>х. Витебск</w:t>
      </w:r>
    </w:p>
    <w:p w:rsidR="00005E14" w:rsidRDefault="00005E14" w:rsidP="0010658B">
      <w:pPr>
        <w:spacing w:after="0" w:line="240" w:lineRule="auto"/>
        <w:ind w:right="4678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031DA2" w:rsidRPr="00376401" w:rsidRDefault="0010658B" w:rsidP="00A04450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05E14" w:rsidRDefault="00005E14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76401" w:rsidRPr="00A04450" w:rsidRDefault="00376401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(«дорожной  карты»)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30.12.2000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509-ФЗ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законодательные   акты Российской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Воронежской области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распоряжением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бласти   от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24.11.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1228-р,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Витебского сельского поселения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Подгоре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нского      муниципального  района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о с т а н о в л я е т: </w:t>
      </w: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разработки и утверждения административных регламентов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5E14" w:rsidRPr="0010484C" w:rsidRDefault="00005E14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</w:t>
      </w:r>
      <w:r w:rsidR="006C0BF0"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Витебского сельского поселения </w:t>
      </w:r>
      <w:r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Подгоренского муниципального</w:t>
      </w:r>
      <w:r w:rsidR="0010484C"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Воронежской области от 14</w:t>
      </w:r>
      <w:r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.05.2015 </w:t>
      </w:r>
      <w:r w:rsidR="006C0BF0"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10484C"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</w:t>
      </w:r>
      <w:r w:rsidRPr="0010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:rsidR="006C0BF0" w:rsidRDefault="00005E14" w:rsidP="006C0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938FC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с даты официального опубликования  в Вестнике муниципальных правовых актов </w:t>
      </w:r>
      <w:r w:rsidR="006C0BF0">
        <w:rPr>
          <w:rFonts w:ascii="Times New Roman" w:hAnsi="Times New Roman" w:cs="Times New Roman"/>
          <w:sz w:val="28"/>
          <w:szCs w:val="28"/>
        </w:rPr>
        <w:t>Витебского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C0BF0" w:rsidRPr="006C0BF0">
        <w:rPr>
          <w:rFonts w:ascii="Times New Roman" w:hAnsi="Times New Roman" w:cs="Times New Roman"/>
          <w:sz w:val="28"/>
          <w:szCs w:val="28"/>
        </w:rPr>
        <w:lastRenderedPageBreak/>
        <w:t xml:space="preserve">45 Устава </w:t>
      </w:r>
      <w:r w:rsidR="006C0BF0">
        <w:rPr>
          <w:rFonts w:ascii="Times New Roman" w:hAnsi="Times New Roman" w:cs="Times New Roman"/>
          <w:sz w:val="28"/>
          <w:szCs w:val="28"/>
        </w:rPr>
        <w:t>Витебского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A04450" w:rsidRDefault="00005E14" w:rsidP="006C0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исполнением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401" w:rsidRP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796" w:rsidRDefault="0010658B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10658B" w:rsidRPr="00376401" w:rsidRDefault="00C14796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Витебского сельского поселения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А.А. Обухов</w:t>
      </w:r>
    </w:p>
    <w:p w:rsidR="0010658B" w:rsidRPr="00376401" w:rsidRDefault="0010658B" w:rsidP="0010658B">
      <w:pPr>
        <w:tabs>
          <w:tab w:val="left" w:pos="93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C14796" w:rsidRDefault="00C14796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6C0BF0" w:rsidRDefault="006C0BF0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276D0" w:rsidRPr="00013720" w:rsidRDefault="00C426F1" w:rsidP="00C14796">
      <w:pPr>
        <w:spacing w:line="240" w:lineRule="auto"/>
        <w:ind w:left="3970" w:right="-144" w:firstLine="708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3720" w:rsidRPr="00013720" w:rsidRDefault="00013720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13720" w:rsidRPr="00013720" w:rsidRDefault="00C14796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Витебского сельского поселения </w:t>
      </w:r>
      <w:r w:rsidR="00013720" w:rsidRPr="00013720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013720" w:rsidRPr="00013720" w:rsidRDefault="00013720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Воронежской области</w:t>
      </w:r>
    </w:p>
    <w:p w:rsidR="00013720" w:rsidRPr="00013720" w:rsidRDefault="0010484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2022 года № 41</w:t>
      </w:r>
      <w:r w:rsidR="00013720" w:rsidRPr="00013720">
        <w:rPr>
          <w:rFonts w:ascii="Times New Roman" w:hAnsi="Times New Roman"/>
          <w:sz w:val="28"/>
          <w:szCs w:val="28"/>
        </w:rPr>
        <w:t xml:space="preserve">    </w:t>
      </w:r>
    </w:p>
    <w:p w:rsidR="005276D0" w:rsidRPr="000E2653" w:rsidRDefault="003D04B0" w:rsidP="003D04B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  <w:r w:rsidRPr="009F310F">
        <w:rPr>
          <w:rFonts w:ascii="Times New Roman" w:hAnsi="Times New Roman"/>
          <w:sz w:val="28"/>
          <w:szCs w:val="28"/>
        </w:rPr>
        <w:t xml:space="preserve"> </w:t>
      </w:r>
      <w:r w:rsidR="005276D0">
        <w:rPr>
          <w:rFonts w:ascii="Times New Roman" w:hAnsi="Times New Roman"/>
          <w:sz w:val="28"/>
          <w:szCs w:val="28"/>
        </w:rPr>
        <w:t xml:space="preserve">   </w:t>
      </w:r>
      <w:r w:rsidR="005276D0" w:rsidRPr="000E2653">
        <w:rPr>
          <w:rFonts w:ascii="Times New Roman" w:hAnsi="Times New Roman"/>
          <w:sz w:val="28"/>
          <w:szCs w:val="28"/>
        </w:rPr>
        <w:t xml:space="preserve"> 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6E93" w:rsidRPr="0077416C" w:rsidRDefault="000A24F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A46E93" w:rsidRPr="0077416C" w:rsidRDefault="00A46E93" w:rsidP="00D10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Default="00A46E93" w:rsidP="00352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523E2">
        <w:rPr>
          <w:rFonts w:ascii="Times New Roman" w:hAnsi="Times New Roman" w:cs="Times New Roman"/>
          <w:sz w:val="28"/>
          <w:szCs w:val="28"/>
        </w:rPr>
        <w:t xml:space="preserve"> </w:t>
      </w:r>
      <w:r w:rsidR="00C14796">
        <w:rPr>
          <w:rFonts w:ascii="Times New Roman" w:hAnsi="Times New Roman" w:cs="Times New Roman"/>
          <w:sz w:val="28"/>
          <w:szCs w:val="28"/>
          <w:lang w:eastAsia="ar-SA"/>
        </w:rPr>
        <w:t xml:space="preserve">Витебского сельского поселения </w:t>
      </w:r>
      <w:r w:rsidR="003523E2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2463B9" w:rsidRPr="002463B9" w:rsidRDefault="002463B9" w:rsidP="002463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2463B9">
        <w:rPr>
          <w:rFonts w:ascii="Times New Roman" w:eastAsia="Calibri" w:hAnsi="Times New Roman" w:cs="Times New Roman"/>
          <w:sz w:val="28"/>
          <w:szCs w:val="28"/>
          <w:lang w:eastAsia="ru-RU"/>
        </w:rPr>
        <w:t>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2463B9" w:rsidRPr="0077416C" w:rsidRDefault="002463B9" w:rsidP="00246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.  Структура и содержание административного регламента должны соответствовать разделу </w:t>
      </w:r>
      <w:r w:rsidRPr="002463B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013720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A46E93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д)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13720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013720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и способы подачи заявителями жалобы.</w:t>
      </w:r>
    </w:p>
    <w:p w:rsidR="00A46E93" w:rsidRPr="001136B4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1136B4" w:rsidRPr="001136B4" w:rsidRDefault="001136B4" w:rsidP="00EA4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720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участвующим в согласовании.</w:t>
      </w:r>
    </w:p>
    <w:p w:rsidR="00013720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направляет проект административного </w:t>
      </w:r>
      <w:r w:rsidR="00A46E93" w:rsidRPr="00E953CF">
        <w:rPr>
          <w:rFonts w:ascii="Times New Roman" w:hAnsi="Times New Roman" w:cs="Times New Roman"/>
          <w:sz w:val="28"/>
          <w:szCs w:val="28"/>
        </w:rPr>
        <w:t>регламента на экспертизу</w:t>
      </w:r>
      <w:r w:rsidR="007101C3" w:rsidRPr="00E953CF">
        <w:rPr>
          <w:rFonts w:ascii="Times New Roman" w:hAnsi="Times New Roman" w:cs="Times New Roman"/>
          <w:sz w:val="28"/>
          <w:szCs w:val="28"/>
        </w:rPr>
        <w:t xml:space="preserve">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должностному лицу администрации</w:t>
      </w:r>
      <w:r w:rsidRPr="00E953CF"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314A3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 w:rsidR="00E953CF">
        <w:rPr>
          <w:rFonts w:ascii="Times New Roman" w:hAnsi="Times New Roman" w:cs="Times New Roman"/>
          <w:sz w:val="28"/>
          <w:szCs w:val="28"/>
        </w:rPr>
        <w:t>должностного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53CF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экспертизы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</w:t>
      </w:r>
      <w:r w:rsidR="00E953CF">
        <w:rPr>
          <w:rFonts w:ascii="Times New Roman" w:hAnsi="Times New Roman" w:cs="Times New Roman"/>
          <w:sz w:val="28"/>
          <w:szCs w:val="28"/>
        </w:rPr>
        <w:t>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22E74" w:rsidRPr="0077416C" w:rsidRDefault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  <w:bookmarkStart w:id="16" w:name="P210"/>
      <w:bookmarkEnd w:id="16"/>
    </w:p>
    <w:sectPr w:rsidR="00A22E74" w:rsidRPr="0077416C" w:rsidSect="00005E14">
      <w:headerReference w:type="default" r:id="rId1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F1" w:rsidRDefault="00DA0BF1" w:rsidP="00AC019D">
      <w:pPr>
        <w:spacing w:after="0" w:line="240" w:lineRule="auto"/>
      </w:pPr>
      <w:r>
        <w:separator/>
      </w:r>
    </w:p>
  </w:endnote>
  <w:endnote w:type="continuationSeparator" w:id="0">
    <w:p w:rsidR="00DA0BF1" w:rsidRDefault="00DA0BF1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F1" w:rsidRDefault="00DA0BF1" w:rsidP="00AC019D">
      <w:pPr>
        <w:spacing w:after="0" w:line="240" w:lineRule="auto"/>
      </w:pPr>
      <w:r>
        <w:separator/>
      </w:r>
    </w:p>
  </w:footnote>
  <w:footnote w:type="continuationSeparator" w:id="0">
    <w:p w:rsidR="00DA0BF1" w:rsidRDefault="00DA0BF1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28" w:rsidRDefault="00547E28">
    <w:pPr>
      <w:pStyle w:val="a6"/>
      <w:jc w:val="center"/>
    </w:pPr>
  </w:p>
  <w:p w:rsidR="00547E28" w:rsidRDefault="00547E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93"/>
    <w:rsid w:val="00001172"/>
    <w:rsid w:val="00005E14"/>
    <w:rsid w:val="00013720"/>
    <w:rsid w:val="00023A17"/>
    <w:rsid w:val="00031DA2"/>
    <w:rsid w:val="00073168"/>
    <w:rsid w:val="000735EF"/>
    <w:rsid w:val="000A24F0"/>
    <w:rsid w:val="000A3889"/>
    <w:rsid w:val="000B30B0"/>
    <w:rsid w:val="000B6475"/>
    <w:rsid w:val="000D361A"/>
    <w:rsid w:val="000E4476"/>
    <w:rsid w:val="0010484C"/>
    <w:rsid w:val="0010658B"/>
    <w:rsid w:val="001136B4"/>
    <w:rsid w:val="0012348A"/>
    <w:rsid w:val="001268FE"/>
    <w:rsid w:val="001276EC"/>
    <w:rsid w:val="001938FC"/>
    <w:rsid w:val="001E7BE3"/>
    <w:rsid w:val="002025B9"/>
    <w:rsid w:val="0022446B"/>
    <w:rsid w:val="002463B9"/>
    <w:rsid w:val="00262BBB"/>
    <w:rsid w:val="002662C3"/>
    <w:rsid w:val="0027194A"/>
    <w:rsid w:val="002A5142"/>
    <w:rsid w:val="002D21F1"/>
    <w:rsid w:val="002E473C"/>
    <w:rsid w:val="00314A37"/>
    <w:rsid w:val="00322DEA"/>
    <w:rsid w:val="003523E2"/>
    <w:rsid w:val="00376401"/>
    <w:rsid w:val="003D04B0"/>
    <w:rsid w:val="003D154A"/>
    <w:rsid w:val="004B72C4"/>
    <w:rsid w:val="005276D0"/>
    <w:rsid w:val="00547E28"/>
    <w:rsid w:val="00556500"/>
    <w:rsid w:val="005723C8"/>
    <w:rsid w:val="005A232E"/>
    <w:rsid w:val="005E40BA"/>
    <w:rsid w:val="005E6D7D"/>
    <w:rsid w:val="006039A9"/>
    <w:rsid w:val="00652072"/>
    <w:rsid w:val="00666811"/>
    <w:rsid w:val="006857AD"/>
    <w:rsid w:val="006B01C3"/>
    <w:rsid w:val="006C0BF0"/>
    <w:rsid w:val="006D4863"/>
    <w:rsid w:val="006E7FDB"/>
    <w:rsid w:val="006F0FAB"/>
    <w:rsid w:val="007101C3"/>
    <w:rsid w:val="0073305C"/>
    <w:rsid w:val="00742C5E"/>
    <w:rsid w:val="007621F6"/>
    <w:rsid w:val="00771587"/>
    <w:rsid w:val="0077416C"/>
    <w:rsid w:val="007A0B8F"/>
    <w:rsid w:val="007B3F03"/>
    <w:rsid w:val="007D2038"/>
    <w:rsid w:val="007F6E46"/>
    <w:rsid w:val="00821299"/>
    <w:rsid w:val="00835113"/>
    <w:rsid w:val="00851AC5"/>
    <w:rsid w:val="0085678B"/>
    <w:rsid w:val="00887A1F"/>
    <w:rsid w:val="008C61CE"/>
    <w:rsid w:val="008E27D0"/>
    <w:rsid w:val="00904824"/>
    <w:rsid w:val="00952097"/>
    <w:rsid w:val="0098285D"/>
    <w:rsid w:val="009D2544"/>
    <w:rsid w:val="009E273C"/>
    <w:rsid w:val="009E42D3"/>
    <w:rsid w:val="00A04450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63B7F"/>
    <w:rsid w:val="00B759E8"/>
    <w:rsid w:val="00B830D1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14796"/>
    <w:rsid w:val="00C426F1"/>
    <w:rsid w:val="00C6323E"/>
    <w:rsid w:val="00C6420D"/>
    <w:rsid w:val="00C74B4C"/>
    <w:rsid w:val="00CA5C08"/>
    <w:rsid w:val="00CB7792"/>
    <w:rsid w:val="00CD6E3E"/>
    <w:rsid w:val="00CF7685"/>
    <w:rsid w:val="00D01813"/>
    <w:rsid w:val="00D10757"/>
    <w:rsid w:val="00D11382"/>
    <w:rsid w:val="00D2361B"/>
    <w:rsid w:val="00D378E8"/>
    <w:rsid w:val="00D46924"/>
    <w:rsid w:val="00D5052B"/>
    <w:rsid w:val="00D60839"/>
    <w:rsid w:val="00D919D3"/>
    <w:rsid w:val="00DA0BF1"/>
    <w:rsid w:val="00DC2C04"/>
    <w:rsid w:val="00E014A7"/>
    <w:rsid w:val="00E06DB7"/>
    <w:rsid w:val="00E12A96"/>
    <w:rsid w:val="00E22D25"/>
    <w:rsid w:val="00E51926"/>
    <w:rsid w:val="00E57165"/>
    <w:rsid w:val="00E953CF"/>
    <w:rsid w:val="00EA4D88"/>
    <w:rsid w:val="00EE1786"/>
    <w:rsid w:val="00F11796"/>
    <w:rsid w:val="00F521CC"/>
    <w:rsid w:val="00F65E15"/>
    <w:rsid w:val="00F82311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147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147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0540-8C96-499A-81DF-09354C68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19</cp:revision>
  <cp:lastPrinted>2022-11-30T06:25:00Z</cp:lastPrinted>
  <dcterms:created xsi:type="dcterms:W3CDTF">2021-12-17T11:54:00Z</dcterms:created>
  <dcterms:modified xsi:type="dcterms:W3CDTF">2022-11-30T06:26:00Z</dcterms:modified>
</cp:coreProperties>
</file>